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03B" w:rsidRPr="0058403B" w:rsidRDefault="0058403B" w:rsidP="0058403B">
      <w:pPr>
        <w:shd w:val="clear" w:color="auto" w:fill="FFFFFF"/>
        <w:spacing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</w:pPr>
      <w:r w:rsidRPr="0058403B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 xml:space="preserve">Письмо </w:t>
      </w:r>
      <w:proofErr w:type="spellStart"/>
      <w:r w:rsidRPr="0058403B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Минобрнауки</w:t>
      </w:r>
      <w:proofErr w:type="spellEnd"/>
      <w:r w:rsidRPr="0058403B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 xml:space="preserve"> России от 03.04.2017 N ВК-1068/09 "О направлении методических рекомендаций" (вместе с "Методическими рекомендациями о механизмах привлечения организаций дополнительного образования детей к профилактике правонарушений несовершеннолетних")</w:t>
      </w:r>
    </w:p>
    <w:p w:rsidR="0058403B" w:rsidRPr="0058403B" w:rsidRDefault="0058403B" w:rsidP="0058403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01"/>
      <w:bookmarkEnd w:id="0"/>
      <w:r w:rsidRPr="005840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58403B" w:rsidRPr="0058403B" w:rsidRDefault="0058403B" w:rsidP="0058403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2"/>
      <w:bookmarkEnd w:id="1"/>
      <w:r w:rsidRPr="005840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ПИСЬМО</w:t>
      </w:r>
    </w:p>
    <w:p w:rsidR="0058403B" w:rsidRPr="0058403B" w:rsidRDefault="0058403B" w:rsidP="0058403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5840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</w:t>
      </w:r>
      <w:proofErr w:type="gramEnd"/>
      <w:r w:rsidRPr="005840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3 апреля 2017 г. N ВК-1068/09</w:t>
      </w:r>
    </w:p>
    <w:p w:rsidR="0058403B" w:rsidRPr="0058403B" w:rsidRDefault="0058403B" w:rsidP="0058403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3"/>
      <w:bookmarkEnd w:id="2"/>
      <w:r w:rsidRPr="005840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НАПРАВЛЕНИИ МЕТОДИЧЕСКИХ РЕКОМЕНДАЦИЙ</w:t>
      </w:r>
    </w:p>
    <w:p w:rsidR="0058403B" w:rsidRPr="0058403B" w:rsidRDefault="0058403B" w:rsidP="0058403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4"/>
      <w:bookmarkEnd w:id="3"/>
      <w:r w:rsidRPr="005840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Во исполнение пункта 2 раздела I протокола заседания Правительственной комиссии по делам несовершеннолетних и защите их прав от 21 июня 2016 г. N 12 </w:t>
      </w:r>
      <w:proofErr w:type="spellStart"/>
      <w:r w:rsidRPr="005840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Минобрнауки</w:t>
      </w:r>
      <w:proofErr w:type="spellEnd"/>
      <w:r w:rsidRPr="005840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направляет методические </w:t>
      </w:r>
      <w:hyperlink r:id="rId4" w:anchor="100006" w:history="1">
        <w:r w:rsidRPr="0058403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рекомендации</w:t>
        </w:r>
      </w:hyperlink>
      <w:r w:rsidRPr="005840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 механизмах привлечения организаций дополнительного образования детей к профилактике правонарушений несовершеннолетних, разработанные ФГАОУ ВО "Национальный исследовательский университет "Высшая школа экономики".</w:t>
      </w:r>
    </w:p>
    <w:p w:rsidR="0058403B" w:rsidRPr="0058403B" w:rsidRDefault="0058403B" w:rsidP="0058403B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5"/>
      <w:bookmarkEnd w:id="4"/>
      <w:r w:rsidRPr="005840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Заместитель министра</w:t>
      </w:r>
    </w:p>
    <w:p w:rsidR="0058403B" w:rsidRPr="0058403B" w:rsidRDefault="0058403B" w:rsidP="0058403B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8403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В.КАГАНОВ</w:t>
      </w:r>
    </w:p>
    <w:p w:rsidR="0058403B" w:rsidRDefault="0058403B" w:rsidP="0058403B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bookmarkStart w:id="5" w:name="_GoBack"/>
      <w:bookmarkEnd w:id="5"/>
    </w:p>
    <w:p w:rsidR="0058403B" w:rsidRDefault="0058403B" w:rsidP="0058403B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МЕТОДИЧЕСКИЕ РЕКОМЕНДАЦИИ</w:t>
      </w:r>
    </w:p>
    <w:p w:rsidR="0058403B" w:rsidRDefault="0058403B" w:rsidP="0058403B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 МЕХАНИЗМАХ ПРИВЛЕЧЕНИЯ ОРГАНИЗАЦИЙ ДОПОЛНИТЕЛЬНОГО</w:t>
      </w:r>
    </w:p>
    <w:p w:rsidR="0058403B" w:rsidRDefault="0058403B" w:rsidP="0058403B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ОБРАЗОВАНИЯ ДЕТЕЙ К ПРОФИЛАКТИКЕ</w:t>
      </w:r>
    </w:p>
    <w:p w:rsidR="0058403B" w:rsidRDefault="0058403B" w:rsidP="0058403B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ПРАВОНАРУШЕНИЙ НЕСОВЕРШЕННОЛЕТНИХ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6" w:name="100007"/>
      <w:bookmarkEnd w:id="6"/>
      <w:r>
        <w:rPr>
          <w:rFonts w:ascii="Arial" w:hAnsi="Arial" w:cs="Arial"/>
          <w:color w:val="212529"/>
        </w:rPr>
        <w:t>Настоящие методические рекомендации разработаны Институтом образования федерального государственного автономного образовательного учреждения высшего образования "Национальный исследовательский университет "Высшая школа экономики" в соответствии с решением заседания Правительственной комиссии по делам несовершеннолетних и защите их прав от 21 июня 2016 г. (протокол N 12) и направлены на совершенствование деятельности органов исполнительной власти субъектов Российской Федерации в сфере профилактики правонарушений несовершеннолетних.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7" w:name="100008"/>
      <w:bookmarkEnd w:id="7"/>
      <w:r>
        <w:rPr>
          <w:rFonts w:ascii="Arial" w:hAnsi="Arial" w:cs="Arial"/>
          <w:color w:val="212529"/>
        </w:rPr>
        <w:t>Методические рекомендации о механизмах привлечения организаций дополнительного образования детей к профилактике правонарушений несовершеннолетних адресованы руководителям и специалистам: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8" w:name="100009"/>
      <w:bookmarkEnd w:id="8"/>
      <w:r>
        <w:rPr>
          <w:rFonts w:ascii="Arial" w:hAnsi="Arial" w:cs="Arial"/>
          <w:color w:val="212529"/>
        </w:rPr>
        <w:t>- органов государственной власти субъектов Российской Федерации, осуществляющих государственное управление в сфере образования;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9" w:name="100010"/>
      <w:bookmarkEnd w:id="9"/>
      <w:r>
        <w:rPr>
          <w:rFonts w:ascii="Arial" w:hAnsi="Arial" w:cs="Arial"/>
          <w:color w:val="212529"/>
        </w:rPr>
        <w:lastRenderedPageBreak/>
        <w:t>- органов местного самоуправления муниципальных районов и городских округов, осуществляющих управление в сфере образования;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0" w:name="100011"/>
      <w:bookmarkEnd w:id="10"/>
      <w:r>
        <w:rPr>
          <w:rFonts w:ascii="Arial" w:hAnsi="Arial" w:cs="Arial"/>
          <w:color w:val="212529"/>
        </w:rPr>
        <w:t>- организаций, осуществляющих реализацию дополнительных образовательных программ, в том числе с использованием сетевой формы взаимодействия.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1" w:name="100012"/>
      <w:bookmarkEnd w:id="11"/>
      <w:r>
        <w:rPr>
          <w:rFonts w:ascii="Arial" w:hAnsi="Arial" w:cs="Arial"/>
          <w:color w:val="212529"/>
        </w:rPr>
        <w:t>В соответствии со </w:t>
      </w:r>
      <w:hyperlink r:id="rId5" w:anchor="100018" w:history="1">
        <w:r>
          <w:rPr>
            <w:rStyle w:val="a3"/>
            <w:rFonts w:ascii="Arial" w:hAnsi="Arial" w:cs="Arial"/>
            <w:color w:val="4272D7"/>
          </w:rPr>
          <w:t>статьей 1</w:t>
        </w:r>
      </w:hyperlink>
      <w:r>
        <w:rPr>
          <w:rFonts w:ascii="Arial" w:hAnsi="Arial" w:cs="Arial"/>
          <w:color w:val="212529"/>
        </w:rPr>
        <w:t> Федерального закона от 24 июня 1999 г. N 120-ФЗ "Об основах системы профилактики безнадзорности и правонарушений несовершеннолетних" под профилактикой безнадзорности и правонарушений несовершеннолетних понимается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 (далее - профилактика правонарушений несовершеннолетних).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2" w:name="100013"/>
      <w:bookmarkEnd w:id="12"/>
      <w:r>
        <w:rPr>
          <w:rFonts w:ascii="Arial" w:hAnsi="Arial" w:cs="Arial"/>
          <w:color w:val="212529"/>
        </w:rPr>
        <w:t>Деятельность организаций дополнительного образования детей может являться частью системы профилактики правонарушений несовершеннолетних.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3" w:name="100014"/>
      <w:bookmarkEnd w:id="13"/>
      <w:r>
        <w:rPr>
          <w:rFonts w:ascii="Arial" w:hAnsi="Arial" w:cs="Arial"/>
          <w:color w:val="212529"/>
        </w:rPr>
        <w:t>В соответствии со </w:t>
      </w:r>
      <w:hyperlink r:id="rId6" w:anchor="100997" w:history="1">
        <w:r>
          <w:rPr>
            <w:rStyle w:val="a3"/>
            <w:rFonts w:ascii="Arial" w:hAnsi="Arial" w:cs="Arial"/>
            <w:color w:val="4272D7"/>
          </w:rPr>
          <w:t>статьей 75</w:t>
        </w:r>
      </w:hyperlink>
      <w:r>
        <w:rPr>
          <w:rFonts w:ascii="Arial" w:hAnsi="Arial" w:cs="Arial"/>
          <w:color w:val="212529"/>
        </w:rPr>
        <w:t> Федерального закона от 29 декабря 2012 г. N 273-ФЗ "Об образовании в Российской Федерации" (далее - Закон об образовании)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4" w:name="100015"/>
      <w:bookmarkEnd w:id="14"/>
      <w:r>
        <w:rPr>
          <w:rFonts w:ascii="Arial" w:hAnsi="Arial" w:cs="Arial"/>
          <w:color w:val="212529"/>
        </w:rPr>
        <w:t>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5" w:name="100016"/>
      <w:bookmarkEnd w:id="15"/>
      <w:r>
        <w:rPr>
          <w:rFonts w:ascii="Arial" w:hAnsi="Arial" w:cs="Arial"/>
          <w:color w:val="212529"/>
        </w:rPr>
        <w:t>В рамках реализации дополнительного образования детей возможны: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6" w:name="100017"/>
      <w:bookmarkEnd w:id="16"/>
      <w:r>
        <w:rPr>
          <w:rFonts w:ascii="Arial" w:hAnsi="Arial" w:cs="Arial"/>
          <w:color w:val="212529"/>
        </w:rPr>
        <w:t>- вовлечение детей (в том числе "группы риска") в занятия дополнительным образованием, формирование и поддержание их интереса к занятиям;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7" w:name="100018"/>
      <w:bookmarkEnd w:id="17"/>
      <w:r>
        <w:rPr>
          <w:rFonts w:ascii="Arial" w:hAnsi="Arial" w:cs="Arial"/>
          <w:color w:val="212529"/>
        </w:rPr>
        <w:t>- разработка и реализация дополнительных общеобразовательных программ, формирующих мотивы, установки и навыки, препятствующие асоциальному поведению и правонарушениям несовершеннолетних;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8" w:name="100019"/>
      <w:bookmarkEnd w:id="18"/>
      <w:r>
        <w:rPr>
          <w:rFonts w:ascii="Arial" w:hAnsi="Arial" w:cs="Arial"/>
          <w:color w:val="212529"/>
        </w:rPr>
        <w:t>- разработка и реализация дополнительных общеобразовательных программ, направленных на повышение правовой грамотности и формирование навыков бесконфликтной коммуникации несовершеннолетних.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9" w:name="100020"/>
      <w:bookmarkEnd w:id="19"/>
      <w:r>
        <w:rPr>
          <w:rFonts w:ascii="Arial" w:hAnsi="Arial" w:cs="Arial"/>
          <w:color w:val="212529"/>
        </w:rPr>
        <w:t>Повышение доступности дополнительного образования детей является главной задачей государственной политики в сфере дополнительного образования детей, закрепленной в </w:t>
      </w:r>
      <w:hyperlink r:id="rId7" w:history="1">
        <w:r>
          <w:rPr>
            <w:rStyle w:val="a3"/>
            <w:rFonts w:ascii="Arial" w:hAnsi="Arial" w:cs="Arial"/>
            <w:color w:val="4272D7"/>
          </w:rPr>
          <w:t>Указе</w:t>
        </w:r>
      </w:hyperlink>
      <w:r>
        <w:rPr>
          <w:rFonts w:ascii="Arial" w:hAnsi="Arial" w:cs="Arial"/>
          <w:color w:val="212529"/>
        </w:rPr>
        <w:t> Президента Российской Федерации "О мерах по реализации государственной политики в области образования и науки" от 7 мая 2012 г. N 599, </w:t>
      </w:r>
      <w:hyperlink r:id="rId8" w:anchor="100008" w:history="1">
        <w:r>
          <w:rPr>
            <w:rStyle w:val="a3"/>
            <w:rFonts w:ascii="Arial" w:hAnsi="Arial" w:cs="Arial"/>
            <w:color w:val="4272D7"/>
          </w:rPr>
          <w:t>Концепции</w:t>
        </w:r>
      </w:hyperlink>
      <w:r>
        <w:rPr>
          <w:rFonts w:ascii="Arial" w:hAnsi="Arial" w:cs="Arial"/>
          <w:color w:val="212529"/>
        </w:rPr>
        <w:t> развития дополнительного образования детей, утвержденной распоряжением Правительства Российской Федерации от 4 сентября 2014 г. N 1726-р.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0" w:name="100021"/>
      <w:bookmarkEnd w:id="20"/>
      <w:r>
        <w:rPr>
          <w:rFonts w:ascii="Arial" w:hAnsi="Arial" w:cs="Arial"/>
          <w:color w:val="212529"/>
        </w:rPr>
        <w:lastRenderedPageBreak/>
        <w:t xml:space="preserve">Одним из эффективных решений в этом направлении является создание специальных разделов на официальных сайтах органов управления образованием, банков открытых данных, специализированных порталов и навигаторов в области дополнительного образования в субъектах Российской Федерации. Так, информационная поддержка дополнительного образования осуществляется путем размещения информационных материалов на едином национальном портале дополнительного образования детей dop.edu.ru, а также на официальном сайте </w:t>
      </w:r>
      <w:proofErr w:type="spellStart"/>
      <w:r>
        <w:rPr>
          <w:rFonts w:ascii="Arial" w:hAnsi="Arial" w:cs="Arial"/>
          <w:color w:val="212529"/>
        </w:rPr>
        <w:t>Минобрнауки</w:t>
      </w:r>
      <w:proofErr w:type="spellEnd"/>
      <w:r>
        <w:rPr>
          <w:rFonts w:ascii="Arial" w:hAnsi="Arial" w:cs="Arial"/>
          <w:color w:val="212529"/>
        </w:rPr>
        <w:t xml:space="preserve"> России, на котором создан специализированный раздел, посвященный </w:t>
      </w:r>
      <w:hyperlink r:id="rId9" w:anchor="100008" w:history="1">
        <w:r>
          <w:rPr>
            <w:rStyle w:val="a3"/>
            <w:rFonts w:ascii="Arial" w:hAnsi="Arial" w:cs="Arial"/>
            <w:color w:val="4272D7"/>
          </w:rPr>
          <w:t>Концепции</w:t>
        </w:r>
      </w:hyperlink>
      <w:r>
        <w:rPr>
          <w:rFonts w:ascii="Arial" w:hAnsi="Arial" w:cs="Arial"/>
          <w:color w:val="212529"/>
        </w:rPr>
        <w:t> развития дополнительного образования, утвержденной распоряжением Правительства Российской Федерации от 4 сентября 2014 г. N 1726-р.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1" w:name="100022"/>
      <w:bookmarkEnd w:id="21"/>
      <w:r>
        <w:rPr>
          <w:rFonts w:ascii="Arial" w:hAnsi="Arial" w:cs="Arial"/>
          <w:color w:val="212529"/>
        </w:rPr>
        <w:t>Вместе с тем в соответствии с </w:t>
      </w:r>
      <w:hyperlink r:id="rId10" w:anchor="100412" w:history="1">
        <w:r>
          <w:rPr>
            <w:rStyle w:val="a3"/>
            <w:rFonts w:ascii="Arial" w:hAnsi="Arial" w:cs="Arial"/>
            <w:color w:val="4272D7"/>
          </w:rPr>
          <w:t>пунктом 1 статьи 29</w:t>
        </w:r>
      </w:hyperlink>
      <w:r>
        <w:rPr>
          <w:rFonts w:ascii="Arial" w:hAnsi="Arial" w:cs="Arial"/>
          <w:color w:val="212529"/>
        </w:rPr>
        <w:t> Закона об образовании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Интернет (далее - персональный сайт).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2" w:name="100023"/>
      <w:bookmarkEnd w:id="22"/>
      <w:r>
        <w:rPr>
          <w:rFonts w:ascii="Arial" w:hAnsi="Arial" w:cs="Arial"/>
          <w:color w:val="212529"/>
        </w:rPr>
        <w:t>В этой связи организациям дополнительного образования необходимо привести свои персональные сайты в соответствие с требованиями </w:t>
      </w:r>
      <w:hyperlink r:id="rId11" w:anchor="100413" w:history="1">
        <w:r>
          <w:rPr>
            <w:rStyle w:val="a3"/>
            <w:rFonts w:ascii="Arial" w:hAnsi="Arial" w:cs="Arial"/>
            <w:color w:val="4272D7"/>
          </w:rPr>
          <w:t>пункта 2 статьи 29</w:t>
        </w:r>
      </w:hyperlink>
      <w:r>
        <w:rPr>
          <w:rFonts w:ascii="Arial" w:hAnsi="Arial" w:cs="Arial"/>
          <w:color w:val="212529"/>
        </w:rPr>
        <w:t> Закона об образовании.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3" w:name="100024"/>
      <w:bookmarkEnd w:id="23"/>
      <w:r>
        <w:rPr>
          <w:rFonts w:ascii="Arial" w:hAnsi="Arial" w:cs="Arial"/>
          <w:color w:val="212529"/>
        </w:rPr>
        <w:t>Наряду с этим органы исполнительной власти субъектов Российской Федерации и организации, реализующие дополнительные общеобразовательные программы, с целью информирования о возможностях получения дополнительного образования, вовлечения детей в занятия могут организовывать: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4" w:name="100025"/>
      <w:bookmarkEnd w:id="24"/>
      <w:r>
        <w:rPr>
          <w:rFonts w:ascii="Arial" w:hAnsi="Arial" w:cs="Arial"/>
          <w:color w:val="212529"/>
        </w:rPr>
        <w:t>- экскурсии по лабораториям, мастерским, студиям;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5" w:name="100026"/>
      <w:bookmarkEnd w:id="25"/>
      <w:r>
        <w:rPr>
          <w:rFonts w:ascii="Arial" w:hAnsi="Arial" w:cs="Arial"/>
          <w:color w:val="212529"/>
        </w:rPr>
        <w:t>- открытые мастер-классы, презентации работы клубов, секций, творческих объединений;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6" w:name="100027"/>
      <w:bookmarkEnd w:id="26"/>
      <w:r>
        <w:rPr>
          <w:rFonts w:ascii="Arial" w:hAnsi="Arial" w:cs="Arial"/>
          <w:color w:val="212529"/>
        </w:rPr>
        <w:t>- беседы с тренерами и педагогами, знакомства с выдающимися спортсменами;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7" w:name="100028"/>
      <w:bookmarkEnd w:id="27"/>
      <w:r>
        <w:rPr>
          <w:rFonts w:ascii="Arial" w:hAnsi="Arial" w:cs="Arial"/>
          <w:color w:val="212529"/>
        </w:rPr>
        <w:t xml:space="preserve">- игровые программы и конкурсы, интеллектуальные игры, фотовыставки на культурно-массовых мероприятиях, презентации, выставки, акции, </w:t>
      </w:r>
      <w:proofErr w:type="spellStart"/>
      <w:r>
        <w:rPr>
          <w:rFonts w:ascii="Arial" w:hAnsi="Arial" w:cs="Arial"/>
          <w:color w:val="212529"/>
        </w:rPr>
        <w:t>флешмобы</w:t>
      </w:r>
      <w:proofErr w:type="spellEnd"/>
      <w:r>
        <w:rPr>
          <w:rFonts w:ascii="Arial" w:hAnsi="Arial" w:cs="Arial"/>
          <w:color w:val="212529"/>
        </w:rPr>
        <w:t>, показательные и отчетные выступления, соревнования и концерты;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8" w:name="100029"/>
      <w:bookmarkEnd w:id="28"/>
      <w:r>
        <w:rPr>
          <w:rFonts w:ascii="Arial" w:hAnsi="Arial" w:cs="Arial"/>
          <w:color w:val="212529"/>
        </w:rPr>
        <w:t>- рекламные кампании по презентации дополнительных общеобразовательных программ, в том числе проводимых в кружках, студиях, клубах, секциях для детей и родителей в общеобразовательных организациях;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9" w:name="100030"/>
      <w:bookmarkEnd w:id="29"/>
      <w:r>
        <w:rPr>
          <w:rFonts w:ascii="Arial" w:hAnsi="Arial" w:cs="Arial"/>
          <w:color w:val="212529"/>
        </w:rPr>
        <w:t>- акции с раздачей буклетов, адресных приглашений в кружки и секции;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30" w:name="100031"/>
      <w:bookmarkEnd w:id="30"/>
      <w:r>
        <w:rPr>
          <w:rFonts w:ascii="Arial" w:hAnsi="Arial" w:cs="Arial"/>
          <w:color w:val="212529"/>
        </w:rPr>
        <w:t>- стендовую информацию и рекламу в общественных местах.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31" w:name="100032"/>
      <w:bookmarkEnd w:id="31"/>
      <w:r>
        <w:rPr>
          <w:rFonts w:ascii="Arial" w:hAnsi="Arial" w:cs="Arial"/>
          <w:color w:val="212529"/>
        </w:rPr>
        <w:t xml:space="preserve">Также возможно проведение информационной работы в рамках родительских собраний, в ходе которых целесообразно информировать родителей о том, посредством каких каналов они могут узнать о реализуемых в их населенном пункте дополнительных образовательных программах, а также предоставить данную </w:t>
      </w:r>
      <w:r>
        <w:rPr>
          <w:rFonts w:ascii="Arial" w:hAnsi="Arial" w:cs="Arial"/>
          <w:color w:val="212529"/>
        </w:rPr>
        <w:lastRenderedPageBreak/>
        <w:t>информацию непосредственно, проконсультировать об оптимальных вариантах записи их детей для участия в занятиях.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32" w:name="100033"/>
      <w:bookmarkEnd w:id="32"/>
      <w:r>
        <w:rPr>
          <w:rFonts w:ascii="Arial" w:hAnsi="Arial" w:cs="Arial"/>
          <w:color w:val="212529"/>
        </w:rPr>
        <w:t>Реализация дополнительных общеобразовательных программ физкультурно-спортивной направленности (например, бокс, борьба, восточные единоборства, экстремальные виды спорта, альпинизм и скалолазание, "веревочные курсы", историческая реконструкция и другие), а также туристско-краеведческой направленности (включая походы, экспедиции, поисковые отряды) препятствуют асоциальному поведению подростков.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33" w:name="100034"/>
      <w:bookmarkEnd w:id="33"/>
      <w:r>
        <w:rPr>
          <w:rFonts w:ascii="Arial" w:hAnsi="Arial" w:cs="Arial"/>
          <w:color w:val="212529"/>
        </w:rPr>
        <w:t>При этом выбор видов походов и разработка их маршрутов может осуществляться таким образом, чтобы туристическая деятельность сочеталась с участием подростков в культурных и социальных событиях на маршруте следования, что обеспечит разностороннее и комплексное воздействие на развитие как физических, так и нравственно-волевых качеств личности обучающегося.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34" w:name="100035"/>
      <w:bookmarkEnd w:id="34"/>
      <w:r>
        <w:rPr>
          <w:rFonts w:ascii="Arial" w:hAnsi="Arial" w:cs="Arial"/>
          <w:color w:val="212529"/>
        </w:rPr>
        <w:t>Другой группой дополнительных общеобразовательных программ, реализация которых может препятствовать асоциальному поведению подростков, являются программы социально-педагогической направленности. Их содержание может быть нацелено на правовое просвещение, формирование у подростков социальной компетентности, общекультурное развитие. Например, создание отрядов правоохранительной направленности ("Юные друзья полиции"); организация наблюдения за правопорядком в общеобразовательных организациях; шефство над детьми, состоящими на различных видах профилактического учета; проведение встреч с работниками органов внутренних дел; вовлечение детей в социально полезную деятельность, волонтерские практики, в том числе оказание помощи людям с ограниченными возможностями здоровья и инвалидам, ветеранам Великой Отечественной войны и пожилым людям, а также привлечение к охране окружающей среды, восстановлению памятников архитектуры.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35" w:name="100036"/>
      <w:bookmarkEnd w:id="35"/>
      <w:r>
        <w:rPr>
          <w:rFonts w:ascii="Arial" w:hAnsi="Arial" w:cs="Arial"/>
          <w:color w:val="212529"/>
        </w:rPr>
        <w:t>Также при реализации дополнительных общеобразовательных программ возможно сетевое взаимодействие с воинскими частями ВС РФ, частями МЧС России, отделами МВД России. Военнослужащих и работников указанных органов рекомендуется привлекать к созданию и организации работы клубов "Юный пожарный", "Юный спасатель", "Юный десантник" и т.д.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36" w:name="100037"/>
      <w:bookmarkEnd w:id="36"/>
      <w:r>
        <w:rPr>
          <w:rFonts w:ascii="Arial" w:hAnsi="Arial" w:cs="Arial"/>
          <w:color w:val="212529"/>
        </w:rPr>
        <w:t>Одним из факторов риска асоциального поведения подростков является низкий уровень социально-психологической компетентности (навыки управления эмоциональными состояниями, общения, противостояния манипуляциям, конструктивного поведения в конфликтной ситуации и др.). Для формирования указанных навыков в содержание работы образовательных организаций дополнительного образования рекомендуется включать методы социально-психологических тренингов и игр (ролевые, моделирующие).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37" w:name="100038"/>
      <w:bookmarkEnd w:id="37"/>
      <w:r>
        <w:rPr>
          <w:rFonts w:ascii="Arial" w:hAnsi="Arial" w:cs="Arial"/>
          <w:color w:val="212529"/>
        </w:rPr>
        <w:t xml:space="preserve">Многие подростки наряду с дефицитом личностного развития отличаются творческими способностями, имеют склонность к творческой деятельности, в том числе в технической и естественно-научной направленностях. Такие подростки нуждаются в педагогической поддержке в освоении социально приемлемых моделей поведения, в творческой самореализации, в достижении успеха. Поэтому эффективным средством социализации подростков является театральное творчество, конкурс-смотр созданных моделей, презентация реализуемых проектов. Рекомендуется привлекать подростков данной группы к участию в </w:t>
      </w:r>
      <w:r>
        <w:rPr>
          <w:rFonts w:ascii="Arial" w:hAnsi="Arial" w:cs="Arial"/>
          <w:color w:val="212529"/>
        </w:rPr>
        <w:lastRenderedPageBreak/>
        <w:t>"школьных театрах", театральных кружках, коллективах хорового пения и духовых оркестрах, а также вовлекать в проектную деятельность, научно-техническое творчество, в том числе на базе технопарков "</w:t>
      </w:r>
      <w:proofErr w:type="spellStart"/>
      <w:r>
        <w:rPr>
          <w:rFonts w:ascii="Arial" w:hAnsi="Arial" w:cs="Arial"/>
          <w:color w:val="212529"/>
        </w:rPr>
        <w:t>Кванто-риум</w:t>
      </w:r>
      <w:proofErr w:type="spellEnd"/>
      <w:r>
        <w:rPr>
          <w:rFonts w:ascii="Arial" w:hAnsi="Arial" w:cs="Arial"/>
          <w:color w:val="212529"/>
        </w:rPr>
        <w:t>".</w:t>
      </w:r>
    </w:p>
    <w:p w:rsidR="0058403B" w:rsidRDefault="0058403B" w:rsidP="0058403B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38" w:name="100039"/>
      <w:bookmarkEnd w:id="38"/>
      <w:r>
        <w:rPr>
          <w:rFonts w:ascii="Arial" w:hAnsi="Arial" w:cs="Arial"/>
          <w:color w:val="212529"/>
        </w:rPr>
        <w:t>В целом при реализации дополнительных образовательных программ и форм работы с детьми и подростками, в том числе в целях профилактики правонарушений несовершеннолетних, следует способствовать максимальному привлечению их к участию в конкурсах, соревнованиях, профильных фестивалях, олимпиадах, тем самым создавая для детей ситуацию успеха, возможности самоутверждения, повышения личностной самооценки. Победы в подобных мероприятиях для детей "группы риска", помимо позитивной мотивации для них самих, станут прецедентами для распространения подобного успешного опыта среди детей данной категории, еще не включенных в систему дополнительного образования.</w:t>
      </w:r>
    </w:p>
    <w:p w:rsidR="007142DD" w:rsidRDefault="007142DD"/>
    <w:sectPr w:rsidR="00714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95"/>
    <w:rsid w:val="0058403B"/>
    <w:rsid w:val="007142DD"/>
    <w:rsid w:val="00E6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2AE42-223F-4ADA-A2C4-AC42B915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403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58403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58403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840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8403B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58403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rasporjazhenie-pravitelstva-rf-ot-04092014-n-1726-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ukaz-prezidenta-rf-ot-07052012-n-599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273_FZ-ob-obrazovanii/glava-10/statja-75/" TargetMode="External"/><Relationship Id="rId11" Type="http://schemas.openxmlformats.org/officeDocument/2006/relationships/hyperlink" Target="https://legalacts.ru/doc/273_FZ-ob-obrazovanii/glava-3/statja-29/" TargetMode="External"/><Relationship Id="rId5" Type="http://schemas.openxmlformats.org/officeDocument/2006/relationships/hyperlink" Target="https://legalacts.ru/doc/federalnyi-zakon-ot-24061999-n-120-fz-ob/" TargetMode="External"/><Relationship Id="rId10" Type="http://schemas.openxmlformats.org/officeDocument/2006/relationships/hyperlink" Target="https://legalacts.ru/doc/273_FZ-ob-obrazovanii/glava-3/statja-29/" TargetMode="External"/><Relationship Id="rId4" Type="http://schemas.openxmlformats.org/officeDocument/2006/relationships/hyperlink" Target="https://legalacts.ru/doc/pismo-minobrnauki-rossii-ot-03042017-n-vk-106809-o-napravlenii/" TargetMode="External"/><Relationship Id="rId9" Type="http://schemas.openxmlformats.org/officeDocument/2006/relationships/hyperlink" Target="https://legalacts.ru/doc/rasporjazhenie-pravitelstva-rf-ot-04092014-n-1726-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1797</Words>
  <Characters>10247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2025-06-30T02:54:00Z</dcterms:created>
  <dcterms:modified xsi:type="dcterms:W3CDTF">2025-06-30T02:55:00Z</dcterms:modified>
</cp:coreProperties>
</file>